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56EB" w14:textId="7616A6F1" w:rsidR="003F478A" w:rsidRPr="00736174" w:rsidRDefault="00DB32B8" w:rsidP="00736174">
      <w:pPr>
        <w:pStyle w:val="ListParagraph"/>
      </w:pPr>
      <w:r>
        <w:t>Trust Board Attendance</w:t>
      </w:r>
    </w:p>
    <w:p w14:paraId="399650A2" w14:textId="05A435D3" w:rsidR="00DA2FA9" w:rsidRDefault="00DB32B8" w:rsidP="00736174">
      <w:pPr>
        <w:pStyle w:val="ListParagraph"/>
      </w:pPr>
      <w:r>
        <w:t>202</w:t>
      </w:r>
      <w:r w:rsidR="009A4B3D">
        <w:t>4</w:t>
      </w:r>
      <w:r>
        <w:t xml:space="preserve"> -202</w:t>
      </w:r>
      <w:r w:rsidR="009A4B3D">
        <w:t>5</w:t>
      </w:r>
    </w:p>
    <w:p w14:paraId="47BC7C3A" w14:textId="77777777" w:rsidR="002056B0" w:rsidRDefault="002056B0" w:rsidP="00736174">
      <w:pPr>
        <w:pStyle w:val="ListParagraph"/>
      </w:pPr>
    </w:p>
    <w:p w14:paraId="250DA30A" w14:textId="69AA599B" w:rsidR="002056B0" w:rsidRPr="002056B0" w:rsidRDefault="002056B0" w:rsidP="002056B0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056B0">
        <w:rPr>
          <w:sz w:val="20"/>
          <w:szCs w:val="20"/>
        </w:rPr>
        <w:t>Trust Board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2056B0" w14:paraId="0B5B9BE1" w14:textId="77777777" w:rsidTr="002056B0">
        <w:tc>
          <w:tcPr>
            <w:tcW w:w="3119" w:type="dxa"/>
          </w:tcPr>
          <w:p w14:paraId="6951DB08" w14:textId="0578A950" w:rsidR="002056B0" w:rsidRPr="002056B0" w:rsidRDefault="002056B0" w:rsidP="00736174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Trustee</w:t>
            </w:r>
          </w:p>
        </w:tc>
        <w:tc>
          <w:tcPr>
            <w:tcW w:w="2551" w:type="dxa"/>
          </w:tcPr>
          <w:p w14:paraId="044CA4D1" w14:textId="2B6EED6B" w:rsidR="002056B0" w:rsidRPr="002056B0" w:rsidRDefault="002056B0" w:rsidP="00736174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Attendance</w:t>
            </w:r>
          </w:p>
        </w:tc>
      </w:tr>
      <w:tr w:rsidR="002056B0" w14:paraId="4F8B094D" w14:textId="77777777" w:rsidTr="002056B0">
        <w:tc>
          <w:tcPr>
            <w:tcW w:w="3119" w:type="dxa"/>
          </w:tcPr>
          <w:p w14:paraId="5477B1D2" w14:textId="01EE4B68" w:rsidR="002056B0" w:rsidRDefault="00C95B9D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Karen Potts</w:t>
            </w:r>
          </w:p>
        </w:tc>
        <w:tc>
          <w:tcPr>
            <w:tcW w:w="2551" w:type="dxa"/>
          </w:tcPr>
          <w:p w14:paraId="0EEDB024" w14:textId="120D0F6D" w:rsidR="002056B0" w:rsidRDefault="00765E81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5/6 +AGM</w:t>
            </w:r>
          </w:p>
        </w:tc>
      </w:tr>
      <w:tr w:rsidR="002056B0" w14:paraId="58987866" w14:textId="77777777" w:rsidTr="002056B0">
        <w:tc>
          <w:tcPr>
            <w:tcW w:w="3119" w:type="dxa"/>
          </w:tcPr>
          <w:p w14:paraId="23F0BFF7" w14:textId="215AD7D3" w:rsidR="002056B0" w:rsidRDefault="00C95B9D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Alison Chmiel</w:t>
            </w:r>
          </w:p>
        </w:tc>
        <w:tc>
          <w:tcPr>
            <w:tcW w:w="2551" w:type="dxa"/>
          </w:tcPr>
          <w:p w14:paraId="66013D45" w14:textId="1C1B1AE1" w:rsidR="002056B0" w:rsidRDefault="00B85FA0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6/6 +AGM</w:t>
            </w:r>
          </w:p>
        </w:tc>
      </w:tr>
      <w:tr w:rsidR="002056B0" w14:paraId="4FEFBFA8" w14:textId="77777777" w:rsidTr="002056B0">
        <w:tc>
          <w:tcPr>
            <w:tcW w:w="3119" w:type="dxa"/>
          </w:tcPr>
          <w:p w14:paraId="6C4FD651" w14:textId="200CE53A" w:rsidR="002056B0" w:rsidRDefault="009A4B3D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Ian Greenaway</w:t>
            </w:r>
          </w:p>
        </w:tc>
        <w:tc>
          <w:tcPr>
            <w:tcW w:w="2551" w:type="dxa"/>
          </w:tcPr>
          <w:p w14:paraId="4DDDC588" w14:textId="05A5C5C7" w:rsidR="002056B0" w:rsidRDefault="007107DD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6/6 +AGM</w:t>
            </w:r>
          </w:p>
        </w:tc>
      </w:tr>
      <w:tr w:rsidR="002056B0" w14:paraId="5F45CEC4" w14:textId="77777777" w:rsidTr="002056B0">
        <w:tc>
          <w:tcPr>
            <w:tcW w:w="3119" w:type="dxa"/>
          </w:tcPr>
          <w:p w14:paraId="3B987449" w14:textId="17D78FE6" w:rsidR="002056B0" w:rsidRDefault="009A4B3D" w:rsidP="0073617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Richard Jones</w:t>
            </w:r>
          </w:p>
        </w:tc>
        <w:tc>
          <w:tcPr>
            <w:tcW w:w="2551" w:type="dxa"/>
          </w:tcPr>
          <w:p w14:paraId="62B1EFB5" w14:textId="1249FF27" w:rsidR="002056B0" w:rsidRDefault="000D4BF4" w:rsidP="000D4BF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 w:rsidR="007107DD">
              <w:rPr>
                <w:b w:val="0"/>
                <w:bCs/>
                <w:sz w:val="20"/>
                <w:szCs w:val="20"/>
              </w:rPr>
              <w:t>/6 +AGM</w:t>
            </w:r>
          </w:p>
        </w:tc>
      </w:tr>
      <w:tr w:rsidR="000D4BF4" w14:paraId="5B4E1073" w14:textId="77777777" w:rsidTr="002056B0">
        <w:tc>
          <w:tcPr>
            <w:tcW w:w="3119" w:type="dxa"/>
          </w:tcPr>
          <w:p w14:paraId="141A1125" w14:textId="134AEC8A" w:rsidR="000D4BF4" w:rsidRDefault="000D4BF4" w:rsidP="000D4BF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Chris Pickering</w:t>
            </w:r>
          </w:p>
        </w:tc>
        <w:tc>
          <w:tcPr>
            <w:tcW w:w="2551" w:type="dxa"/>
          </w:tcPr>
          <w:p w14:paraId="4710670C" w14:textId="55286B87" w:rsidR="000D4BF4" w:rsidRDefault="000D4BF4" w:rsidP="000D4BF4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6/6 +AGM</w:t>
            </w:r>
          </w:p>
        </w:tc>
      </w:tr>
      <w:tr w:rsidR="003E070C" w14:paraId="4EC9E762" w14:textId="77777777" w:rsidTr="002056B0">
        <w:tc>
          <w:tcPr>
            <w:tcW w:w="3119" w:type="dxa"/>
          </w:tcPr>
          <w:p w14:paraId="6C7E2FB4" w14:textId="1C6E93A8" w:rsidR="003E070C" w:rsidRDefault="003E070C" w:rsidP="003E070C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William O’Connell</w:t>
            </w:r>
          </w:p>
        </w:tc>
        <w:tc>
          <w:tcPr>
            <w:tcW w:w="2551" w:type="dxa"/>
          </w:tcPr>
          <w:p w14:paraId="3FF901E1" w14:textId="6007F892" w:rsidR="003E070C" w:rsidRDefault="003E070C" w:rsidP="003E070C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>
              <w:rPr>
                <w:b w:val="0"/>
                <w:bCs/>
                <w:sz w:val="20"/>
                <w:szCs w:val="20"/>
              </w:rPr>
              <w:t>/</w:t>
            </w: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b w:val="0"/>
                <w:bCs/>
                <w:sz w:val="20"/>
                <w:szCs w:val="20"/>
              </w:rPr>
              <w:t xml:space="preserve"> +AGM</w:t>
            </w:r>
          </w:p>
        </w:tc>
      </w:tr>
    </w:tbl>
    <w:p w14:paraId="6FFFD0C7" w14:textId="77777777" w:rsidR="002056B0" w:rsidRDefault="002056B0" w:rsidP="00736174">
      <w:pPr>
        <w:pStyle w:val="ListParagraph"/>
        <w:rPr>
          <w:b w:val="0"/>
          <w:bCs/>
          <w:sz w:val="20"/>
          <w:szCs w:val="20"/>
        </w:rPr>
      </w:pPr>
    </w:p>
    <w:p w14:paraId="41186C8D" w14:textId="77777777" w:rsidR="002056B0" w:rsidRDefault="002056B0" w:rsidP="00736174">
      <w:pPr>
        <w:pStyle w:val="ListParagraph"/>
        <w:rPr>
          <w:b w:val="0"/>
          <w:bCs/>
          <w:sz w:val="20"/>
          <w:szCs w:val="20"/>
        </w:rPr>
      </w:pPr>
    </w:p>
    <w:p w14:paraId="035BB901" w14:textId="6467BA61" w:rsidR="002056B0" w:rsidRPr="002056B0" w:rsidRDefault="002056B0" w:rsidP="002056B0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Risk and Audit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2056B0" w14:paraId="2F5D7488" w14:textId="77777777" w:rsidTr="001A38D7">
        <w:tc>
          <w:tcPr>
            <w:tcW w:w="3119" w:type="dxa"/>
          </w:tcPr>
          <w:p w14:paraId="70D51CB3" w14:textId="77777777" w:rsidR="002056B0" w:rsidRPr="002056B0" w:rsidRDefault="002056B0" w:rsidP="001A38D7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Trustee</w:t>
            </w:r>
          </w:p>
        </w:tc>
        <w:tc>
          <w:tcPr>
            <w:tcW w:w="2551" w:type="dxa"/>
          </w:tcPr>
          <w:p w14:paraId="3ABAE7DA" w14:textId="77777777" w:rsidR="002056B0" w:rsidRPr="002056B0" w:rsidRDefault="002056B0" w:rsidP="001A38D7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Attendance</w:t>
            </w:r>
          </w:p>
        </w:tc>
      </w:tr>
      <w:tr w:rsidR="002056B0" w14:paraId="4BD53FF1" w14:textId="77777777" w:rsidTr="001A38D7">
        <w:tc>
          <w:tcPr>
            <w:tcW w:w="3119" w:type="dxa"/>
          </w:tcPr>
          <w:p w14:paraId="2F4C532F" w14:textId="056EAE0F" w:rsidR="002056B0" w:rsidRDefault="00820E0E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Ian Greenaway</w:t>
            </w:r>
          </w:p>
        </w:tc>
        <w:tc>
          <w:tcPr>
            <w:tcW w:w="2551" w:type="dxa"/>
          </w:tcPr>
          <w:p w14:paraId="1E1FFA62" w14:textId="3FAFD738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70845264" w14:textId="77777777" w:rsidTr="001A38D7">
        <w:tc>
          <w:tcPr>
            <w:tcW w:w="3119" w:type="dxa"/>
          </w:tcPr>
          <w:p w14:paraId="4F02DF2F" w14:textId="2FB5D18F" w:rsidR="002056B0" w:rsidRDefault="00820E0E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Alison Chmiel</w:t>
            </w:r>
          </w:p>
        </w:tc>
        <w:tc>
          <w:tcPr>
            <w:tcW w:w="2551" w:type="dxa"/>
          </w:tcPr>
          <w:p w14:paraId="3C38F7B9" w14:textId="53EFBB93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08EA4D99" w14:textId="77777777" w:rsidTr="001A38D7">
        <w:tc>
          <w:tcPr>
            <w:tcW w:w="3119" w:type="dxa"/>
          </w:tcPr>
          <w:p w14:paraId="1F59AC88" w14:textId="150AD4B5" w:rsidR="002056B0" w:rsidRDefault="009A4B3D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Chris Pickering</w:t>
            </w:r>
          </w:p>
        </w:tc>
        <w:tc>
          <w:tcPr>
            <w:tcW w:w="2551" w:type="dxa"/>
          </w:tcPr>
          <w:p w14:paraId="4E3CADF4" w14:textId="2EFBD616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6F0423EA" w14:textId="77777777" w:rsidTr="001A38D7">
        <w:tc>
          <w:tcPr>
            <w:tcW w:w="3119" w:type="dxa"/>
          </w:tcPr>
          <w:p w14:paraId="65BEDC1D" w14:textId="55AF9CEC" w:rsidR="002056B0" w:rsidRDefault="009A4B3D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William O’Connell</w:t>
            </w:r>
          </w:p>
        </w:tc>
        <w:tc>
          <w:tcPr>
            <w:tcW w:w="2551" w:type="dxa"/>
          </w:tcPr>
          <w:p w14:paraId="660F2B7C" w14:textId="156F080E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  <w:r w:rsidR="009643A1">
              <w:rPr>
                <w:b w:val="0"/>
                <w:bCs/>
                <w:sz w:val="20"/>
                <w:szCs w:val="20"/>
              </w:rPr>
              <w:t>/2</w:t>
            </w:r>
          </w:p>
        </w:tc>
      </w:tr>
    </w:tbl>
    <w:p w14:paraId="6E7EA6F5" w14:textId="77777777" w:rsidR="002056B0" w:rsidRDefault="002056B0" w:rsidP="00736174">
      <w:pPr>
        <w:pStyle w:val="ListParagraph"/>
        <w:rPr>
          <w:b w:val="0"/>
          <w:bCs/>
          <w:sz w:val="20"/>
          <w:szCs w:val="20"/>
        </w:rPr>
      </w:pPr>
    </w:p>
    <w:p w14:paraId="57101A64" w14:textId="7010C680" w:rsidR="002056B0" w:rsidRPr="002056B0" w:rsidRDefault="002056B0" w:rsidP="002056B0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Finance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2056B0" w14:paraId="60B87344" w14:textId="77777777" w:rsidTr="001A38D7">
        <w:tc>
          <w:tcPr>
            <w:tcW w:w="3119" w:type="dxa"/>
          </w:tcPr>
          <w:p w14:paraId="1FD154C2" w14:textId="77777777" w:rsidR="002056B0" w:rsidRPr="002056B0" w:rsidRDefault="002056B0" w:rsidP="001A38D7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Trustee</w:t>
            </w:r>
          </w:p>
        </w:tc>
        <w:tc>
          <w:tcPr>
            <w:tcW w:w="2551" w:type="dxa"/>
          </w:tcPr>
          <w:p w14:paraId="3CAD5591" w14:textId="77777777" w:rsidR="002056B0" w:rsidRPr="002056B0" w:rsidRDefault="002056B0" w:rsidP="001A38D7">
            <w:pPr>
              <w:pStyle w:val="ListParagraph"/>
              <w:rPr>
                <w:sz w:val="20"/>
                <w:szCs w:val="20"/>
              </w:rPr>
            </w:pPr>
            <w:r w:rsidRPr="002056B0">
              <w:rPr>
                <w:sz w:val="20"/>
                <w:szCs w:val="20"/>
              </w:rPr>
              <w:t>Attendance</w:t>
            </w:r>
          </w:p>
        </w:tc>
      </w:tr>
      <w:tr w:rsidR="002056B0" w14:paraId="7E714117" w14:textId="77777777" w:rsidTr="001A38D7">
        <w:tc>
          <w:tcPr>
            <w:tcW w:w="3119" w:type="dxa"/>
          </w:tcPr>
          <w:p w14:paraId="1F2ADE82" w14:textId="1C6FD17E" w:rsidR="002056B0" w:rsidRDefault="00287175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Alison Chmiel</w:t>
            </w:r>
          </w:p>
        </w:tc>
        <w:tc>
          <w:tcPr>
            <w:tcW w:w="2551" w:type="dxa"/>
          </w:tcPr>
          <w:p w14:paraId="4AA6DCCB" w14:textId="0E50E21C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4E7A1D5F" w14:textId="77777777" w:rsidTr="001A38D7">
        <w:tc>
          <w:tcPr>
            <w:tcW w:w="3119" w:type="dxa"/>
          </w:tcPr>
          <w:p w14:paraId="59DB1E64" w14:textId="78D2EF0A" w:rsidR="002056B0" w:rsidRDefault="00287175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Ian Greenaway</w:t>
            </w:r>
          </w:p>
        </w:tc>
        <w:tc>
          <w:tcPr>
            <w:tcW w:w="2551" w:type="dxa"/>
          </w:tcPr>
          <w:p w14:paraId="4629D917" w14:textId="4FFF1706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22909E54" w14:textId="77777777" w:rsidTr="001A38D7">
        <w:tc>
          <w:tcPr>
            <w:tcW w:w="3119" w:type="dxa"/>
          </w:tcPr>
          <w:p w14:paraId="72999EB2" w14:textId="56A17BAF" w:rsidR="002056B0" w:rsidRDefault="00287175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Richard Jones</w:t>
            </w:r>
          </w:p>
        </w:tc>
        <w:tc>
          <w:tcPr>
            <w:tcW w:w="2551" w:type="dxa"/>
          </w:tcPr>
          <w:p w14:paraId="0A6A1412" w14:textId="08232CA1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  <w:tr w:rsidR="002056B0" w14:paraId="1B3D96C2" w14:textId="77777777" w:rsidTr="001A38D7">
        <w:tc>
          <w:tcPr>
            <w:tcW w:w="3119" w:type="dxa"/>
          </w:tcPr>
          <w:p w14:paraId="25537A67" w14:textId="2D047953" w:rsidR="002056B0" w:rsidRDefault="009A4B3D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Chris Pickering</w:t>
            </w:r>
          </w:p>
        </w:tc>
        <w:tc>
          <w:tcPr>
            <w:tcW w:w="2551" w:type="dxa"/>
          </w:tcPr>
          <w:p w14:paraId="0E8B90C5" w14:textId="4873E219" w:rsidR="002056B0" w:rsidRDefault="003E070C" w:rsidP="001A38D7">
            <w:pPr>
              <w:pStyle w:val="ListParagrap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3/3</w:t>
            </w:r>
          </w:p>
        </w:tc>
      </w:tr>
    </w:tbl>
    <w:p w14:paraId="0B8E9248" w14:textId="77777777" w:rsidR="002056B0" w:rsidRPr="002056B0" w:rsidRDefault="002056B0" w:rsidP="00736174">
      <w:pPr>
        <w:pStyle w:val="ListParagraph"/>
        <w:rPr>
          <w:b w:val="0"/>
          <w:bCs/>
          <w:sz w:val="20"/>
          <w:szCs w:val="20"/>
        </w:rPr>
      </w:pPr>
    </w:p>
    <w:sectPr w:rsidR="002056B0" w:rsidRPr="002056B0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7CBA" w14:textId="77777777" w:rsidR="0093052C" w:rsidRDefault="0093052C" w:rsidP="000D506B">
      <w:r>
        <w:separator/>
      </w:r>
    </w:p>
  </w:endnote>
  <w:endnote w:type="continuationSeparator" w:id="0">
    <w:p w14:paraId="1B23CF19" w14:textId="77777777" w:rsidR="0093052C" w:rsidRDefault="0093052C" w:rsidP="000D506B">
      <w:r>
        <w:continuationSeparator/>
      </w:r>
    </w:p>
  </w:endnote>
  <w:endnote w:type="continuationNotice" w:id="1">
    <w:p w14:paraId="2F09812C" w14:textId="77777777" w:rsidR="00156327" w:rsidRDefault="00156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765A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4C22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6712AF6" wp14:editId="1E8A06EC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0A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8570A92" wp14:editId="0E3D4AE6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9D31" w14:textId="77777777" w:rsidR="0093052C" w:rsidRDefault="0093052C" w:rsidP="000D506B">
      <w:r>
        <w:separator/>
      </w:r>
    </w:p>
  </w:footnote>
  <w:footnote w:type="continuationSeparator" w:id="0">
    <w:p w14:paraId="563EE40D" w14:textId="77777777" w:rsidR="0093052C" w:rsidRDefault="0093052C" w:rsidP="000D506B">
      <w:r>
        <w:continuationSeparator/>
      </w:r>
    </w:p>
  </w:footnote>
  <w:footnote w:type="continuationNotice" w:id="1">
    <w:p w14:paraId="672B9D2C" w14:textId="77777777" w:rsidR="00156327" w:rsidRDefault="00156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3EF0" w14:textId="77777777" w:rsidR="000D506B" w:rsidRDefault="009643A1">
    <w:pPr>
      <w:pStyle w:val="Header"/>
    </w:pPr>
    <w:r>
      <w:rPr>
        <w:noProof/>
      </w:rPr>
      <w:pict w14:anchorId="176F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30BC" w14:textId="77777777" w:rsidR="000D506B" w:rsidRPr="002B3157" w:rsidRDefault="009643A1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361F3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696F" w14:textId="77777777" w:rsidR="000D506B" w:rsidRDefault="009643A1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30384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58240" behindDoc="0" locked="1" layoutInCell="1" allowOverlap="0" wp14:anchorId="79060A7A" wp14:editId="77CCD6BD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22F8"/>
    <w:multiLevelType w:val="hybridMultilevel"/>
    <w:tmpl w:val="85826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993756">
    <w:abstractNumId w:val="13"/>
  </w:num>
  <w:num w:numId="2" w16cid:durableId="1024328757">
    <w:abstractNumId w:val="17"/>
  </w:num>
  <w:num w:numId="3" w16cid:durableId="453444727">
    <w:abstractNumId w:val="20"/>
  </w:num>
  <w:num w:numId="4" w16cid:durableId="560363722">
    <w:abstractNumId w:val="1"/>
  </w:num>
  <w:num w:numId="5" w16cid:durableId="1617829664">
    <w:abstractNumId w:val="23"/>
  </w:num>
  <w:num w:numId="6" w16cid:durableId="138109954">
    <w:abstractNumId w:val="0"/>
  </w:num>
  <w:num w:numId="7" w16cid:durableId="398868068">
    <w:abstractNumId w:val="18"/>
  </w:num>
  <w:num w:numId="8" w16cid:durableId="2085292569">
    <w:abstractNumId w:val="6"/>
  </w:num>
  <w:num w:numId="9" w16cid:durableId="1989942347">
    <w:abstractNumId w:val="7"/>
  </w:num>
  <w:num w:numId="10" w16cid:durableId="1044670779">
    <w:abstractNumId w:val="3"/>
  </w:num>
  <w:num w:numId="11" w16cid:durableId="1806310405">
    <w:abstractNumId w:val="19"/>
  </w:num>
  <w:num w:numId="12" w16cid:durableId="237328674">
    <w:abstractNumId w:val="16"/>
  </w:num>
  <w:num w:numId="13" w16cid:durableId="713315350">
    <w:abstractNumId w:val="4"/>
  </w:num>
  <w:num w:numId="14" w16cid:durableId="886256984">
    <w:abstractNumId w:val="24"/>
  </w:num>
  <w:num w:numId="15" w16cid:durableId="332923391">
    <w:abstractNumId w:val="8"/>
  </w:num>
  <w:num w:numId="16" w16cid:durableId="1215849992">
    <w:abstractNumId w:val="25"/>
  </w:num>
  <w:num w:numId="17" w16cid:durableId="297417351">
    <w:abstractNumId w:val="14"/>
  </w:num>
  <w:num w:numId="18" w16cid:durableId="1199391489">
    <w:abstractNumId w:val="12"/>
  </w:num>
  <w:num w:numId="19" w16cid:durableId="334459709">
    <w:abstractNumId w:val="11"/>
  </w:num>
  <w:num w:numId="20" w16cid:durableId="1649557319">
    <w:abstractNumId w:val="15"/>
  </w:num>
  <w:num w:numId="21" w16cid:durableId="640355381">
    <w:abstractNumId w:val="10"/>
  </w:num>
  <w:num w:numId="22" w16cid:durableId="555819075">
    <w:abstractNumId w:val="22"/>
  </w:num>
  <w:num w:numId="23" w16cid:durableId="1458111138">
    <w:abstractNumId w:val="21"/>
  </w:num>
  <w:num w:numId="24" w16cid:durableId="302005366">
    <w:abstractNumId w:val="5"/>
  </w:num>
  <w:num w:numId="25" w16cid:durableId="125465618">
    <w:abstractNumId w:val="9"/>
  </w:num>
  <w:num w:numId="26" w16cid:durableId="1815223179">
    <w:abstractNumId w:val="2"/>
  </w:num>
  <w:num w:numId="27" w16cid:durableId="7751720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99"/>
    <w:rsid w:val="000145B2"/>
    <w:rsid w:val="00051426"/>
    <w:rsid w:val="0007446E"/>
    <w:rsid w:val="00084966"/>
    <w:rsid w:val="000D32F9"/>
    <w:rsid w:val="000D4BF4"/>
    <w:rsid w:val="000D4D26"/>
    <w:rsid w:val="000D506B"/>
    <w:rsid w:val="000D6B38"/>
    <w:rsid w:val="000D7099"/>
    <w:rsid w:val="000E0DA8"/>
    <w:rsid w:val="0013265A"/>
    <w:rsid w:val="001377ED"/>
    <w:rsid w:val="00156327"/>
    <w:rsid w:val="00156C22"/>
    <w:rsid w:val="001A3041"/>
    <w:rsid w:val="001F62F1"/>
    <w:rsid w:val="001F749A"/>
    <w:rsid w:val="002056B0"/>
    <w:rsid w:val="00287175"/>
    <w:rsid w:val="002B0F0E"/>
    <w:rsid w:val="002B3157"/>
    <w:rsid w:val="0030164F"/>
    <w:rsid w:val="00321AC1"/>
    <w:rsid w:val="0032309A"/>
    <w:rsid w:val="003412E9"/>
    <w:rsid w:val="003A29EF"/>
    <w:rsid w:val="003E070C"/>
    <w:rsid w:val="003F478A"/>
    <w:rsid w:val="004215A2"/>
    <w:rsid w:val="00465F64"/>
    <w:rsid w:val="00474390"/>
    <w:rsid w:val="004B0B56"/>
    <w:rsid w:val="004B3496"/>
    <w:rsid w:val="004F0306"/>
    <w:rsid w:val="004F1DE5"/>
    <w:rsid w:val="00576D3F"/>
    <w:rsid w:val="00587AED"/>
    <w:rsid w:val="005904E0"/>
    <w:rsid w:val="005F4918"/>
    <w:rsid w:val="00633092"/>
    <w:rsid w:val="00641163"/>
    <w:rsid w:val="00672979"/>
    <w:rsid w:val="0068616B"/>
    <w:rsid w:val="006966ED"/>
    <w:rsid w:val="00697CCB"/>
    <w:rsid w:val="006C4971"/>
    <w:rsid w:val="007107DD"/>
    <w:rsid w:val="00736174"/>
    <w:rsid w:val="00736F59"/>
    <w:rsid w:val="00747994"/>
    <w:rsid w:val="00765278"/>
    <w:rsid w:val="00765E81"/>
    <w:rsid w:val="007C22FB"/>
    <w:rsid w:val="007E15C5"/>
    <w:rsid w:val="00820E0E"/>
    <w:rsid w:val="008507F7"/>
    <w:rsid w:val="00857941"/>
    <w:rsid w:val="00873529"/>
    <w:rsid w:val="008950B0"/>
    <w:rsid w:val="008B40F5"/>
    <w:rsid w:val="008E3C90"/>
    <w:rsid w:val="0093052C"/>
    <w:rsid w:val="0093212C"/>
    <w:rsid w:val="009643A1"/>
    <w:rsid w:val="0098474A"/>
    <w:rsid w:val="00991DD1"/>
    <w:rsid w:val="009A4B3D"/>
    <w:rsid w:val="009E7F43"/>
    <w:rsid w:val="00A0573D"/>
    <w:rsid w:val="00B85FA0"/>
    <w:rsid w:val="00BF120D"/>
    <w:rsid w:val="00C32429"/>
    <w:rsid w:val="00C5407C"/>
    <w:rsid w:val="00C63BFB"/>
    <w:rsid w:val="00C95B9D"/>
    <w:rsid w:val="00D05C9D"/>
    <w:rsid w:val="00D3547D"/>
    <w:rsid w:val="00D623DE"/>
    <w:rsid w:val="00DA2FA9"/>
    <w:rsid w:val="00DB32B8"/>
    <w:rsid w:val="00DC7D80"/>
    <w:rsid w:val="00DE1B48"/>
    <w:rsid w:val="00E21ABE"/>
    <w:rsid w:val="00E34F62"/>
    <w:rsid w:val="00E4445E"/>
    <w:rsid w:val="00E45407"/>
    <w:rsid w:val="00E52F13"/>
    <w:rsid w:val="00EC5A5B"/>
    <w:rsid w:val="00ED023C"/>
    <w:rsid w:val="00F02AD0"/>
    <w:rsid w:val="00F3491A"/>
    <w:rsid w:val="00F552AF"/>
    <w:rsid w:val="00F64939"/>
    <w:rsid w:val="00F77438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050C7"/>
  <w15:chartTrackingRefBased/>
  <w15:docId w15:val="{DFE8D380-98B4-47A4-BC69-B296B02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ggan\The%20Two%20Counties%20Trust\Marketing%20&amp;%20Comms%20-%20Branding\TTCT\The%20Two%20Counties%20Trust%20Documents\TTCT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d5816-10f8-4729-a06b-f8d5e6d44ec3" xsi:nil="true"/>
    <lcf76f155ced4ddcb4097134ff3c332f xmlns="a01cf510-0474-48cb-9191-0cae51733f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9902BD3FBF6418C99C5F367AB054A" ma:contentTypeVersion="16" ma:contentTypeDescription="Create a new document." ma:contentTypeScope="" ma:versionID="e77c2aa6bf454d4db87183b335c09ef4">
  <xsd:schema xmlns:xsd="http://www.w3.org/2001/XMLSchema" xmlns:xs="http://www.w3.org/2001/XMLSchema" xmlns:p="http://schemas.microsoft.com/office/2006/metadata/properties" xmlns:ns2="60ed5816-10f8-4729-a06b-f8d5e6d44ec3" xmlns:ns3="a01cf510-0474-48cb-9191-0cae51733f64" targetNamespace="http://schemas.microsoft.com/office/2006/metadata/properties" ma:root="true" ma:fieldsID="205fe8fd52409c01de88f574e7faf34a" ns2:_="" ns3:_="">
    <xsd:import namespace="60ed5816-10f8-4729-a06b-f8d5e6d44ec3"/>
    <xsd:import namespace="a01cf510-0474-48cb-9191-0cae5173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5816-10f8-4729-a06b-f8d5e6d4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a0de9a-a242-411b-8b70-2552e67e9717}" ma:internalName="TaxCatchAll" ma:showField="CatchAllData" ma:web="60ed5816-10f8-4729-a06b-f8d5e6d44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f510-0474-48cb-9191-0cae517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  <ds:schemaRef ds:uri="dd0c744f-5691-4d1d-bfa0-d5300fd580db"/>
    <ds:schemaRef ds:uri="cb38d0d6-448b-4480-a9ba-e96a1b9bb45c"/>
    <ds:schemaRef ds:uri="60ed5816-10f8-4729-a06b-f8d5e6d44ec3"/>
    <ds:schemaRef ds:uri="a01cf510-0474-48cb-9191-0cae51733f64"/>
  </ds:schemaRefs>
</ds:datastoreItem>
</file>

<file path=customXml/itemProps3.xml><?xml version="1.0" encoding="utf-8"?>
<ds:datastoreItem xmlns:ds="http://schemas.openxmlformats.org/officeDocument/2006/customXml" ds:itemID="{866ED76A-7224-4AC4-876B-B4CEC381A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5816-10f8-4729-a06b-f8d5e6d44ec3"/>
    <ds:schemaRef ds:uri="a01cf510-0474-48cb-9191-0cae517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TTCT Portrait Template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Duggan</dc:creator>
  <cp:keywords/>
  <dc:description/>
  <cp:lastModifiedBy>Debbie Duggan</cp:lastModifiedBy>
  <cp:revision>10</cp:revision>
  <dcterms:created xsi:type="dcterms:W3CDTF">2025-07-29T06:58:00Z</dcterms:created>
  <dcterms:modified xsi:type="dcterms:W3CDTF">2025-07-29T07:08:00Z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0x010100EBB9902BD3FBF6418C99C5F367AB054A</vt:lpwstr>
  </property>
  <property fmtid="{D5CDD505-2E9C-101B-9397-08002B2CF9AE}" pid="3" name="MediaServiceImageTags">
    <vt:lpwstr/>
  </property>
</Properties>
</file>